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_GB2312" w:hAnsi="仿宋_GB2312" w:eastAsia="仿宋_GB2312" w:cs="仿宋_GB2312"/>
          <w:lang w:val="zh-TW"/>
        </w:rPr>
      </w:pPr>
      <w:r>
        <w:rPr>
          <w:rFonts w:hint="eastAsia" w:ascii="仿宋_GB2312" w:hAnsi="仿宋_GB2312" w:eastAsia="仿宋_GB2312" w:cs="仿宋_GB2312"/>
          <w:lang w:val="zh-TW"/>
        </w:rPr>
        <w:t>附件</w:t>
      </w:r>
      <w:r>
        <w:rPr>
          <w:rFonts w:hint="eastAsia" w:ascii="仿宋_GB2312" w:hAnsi="仿宋_GB2312" w:eastAsia="仿宋_GB2312" w:cs="仿宋_GB2312"/>
        </w:rPr>
        <w:t>4</w:t>
      </w:r>
    </w:p>
    <w:p>
      <w:pPr>
        <w:jc w:val="center"/>
        <w:rPr>
          <w:rFonts w:hint="eastAsia" w:asciiTheme="majorEastAsia" w:hAnsiTheme="majorEastAsia" w:eastAsiaTheme="majorEastAsia" w:cstheme="majorEastAsia"/>
          <w:b/>
          <w:bCs/>
          <w:sz w:val="36"/>
          <w:szCs w:val="36"/>
          <w:lang w:val="zh-TW"/>
        </w:rPr>
      </w:pPr>
      <w:r>
        <w:rPr>
          <w:rFonts w:hint="eastAsia" w:asciiTheme="majorEastAsia" w:hAnsiTheme="majorEastAsia" w:eastAsiaTheme="majorEastAsia" w:cstheme="majorEastAsia"/>
          <w:b/>
          <w:bCs/>
          <w:sz w:val="36"/>
          <w:szCs w:val="36"/>
          <w:lang w:val="zh-TW"/>
        </w:rPr>
        <w:t>张家界学院</w:t>
      </w:r>
      <w:r>
        <w:rPr>
          <w:rFonts w:hint="eastAsia" w:ascii="宋体" w:hAnsi="宋体"/>
          <w:b/>
          <w:sz w:val="36"/>
          <w:szCs w:val="36"/>
          <w:lang w:val="en-US" w:eastAsia="zh-CN"/>
        </w:rPr>
        <w:t>理工农学院</w:t>
      </w:r>
    </w:p>
    <w:p>
      <w:pPr>
        <w:jc w:val="center"/>
        <w:rPr>
          <w:rFonts w:hint="eastAsia" w:asciiTheme="majorEastAsia" w:hAnsiTheme="majorEastAsia" w:eastAsiaTheme="majorEastAsia" w:cstheme="majorEastAsia"/>
          <w:b/>
          <w:bCs/>
          <w:sz w:val="36"/>
          <w:szCs w:val="36"/>
          <w:lang w:val="zh-TW" w:eastAsia="zh-TW"/>
        </w:rPr>
      </w:pPr>
      <w:r>
        <w:rPr>
          <w:rFonts w:hint="eastAsia" w:asciiTheme="majorEastAsia" w:hAnsiTheme="majorEastAsia" w:eastAsiaTheme="majorEastAsia" w:cstheme="majorEastAsia"/>
          <w:b/>
          <w:bCs/>
          <w:sz w:val="36"/>
          <w:szCs w:val="36"/>
          <w:lang w:val="zh-TW"/>
        </w:rPr>
        <w:t>202</w:t>
      </w:r>
      <w:r>
        <w:rPr>
          <w:rFonts w:hint="eastAsia" w:asciiTheme="majorEastAsia" w:hAnsiTheme="majorEastAsia" w:eastAsiaTheme="majorEastAsia" w:cstheme="majorEastAsia"/>
          <w:b/>
          <w:bCs/>
          <w:sz w:val="36"/>
          <w:szCs w:val="36"/>
          <w:lang w:val="en-US" w:eastAsia="zh-CN"/>
        </w:rPr>
        <w:t>4</w:t>
      </w:r>
      <w:r>
        <w:rPr>
          <w:rFonts w:hint="eastAsia" w:asciiTheme="majorEastAsia" w:hAnsiTheme="majorEastAsia" w:eastAsiaTheme="majorEastAsia" w:cstheme="majorEastAsia"/>
          <w:b/>
          <w:bCs/>
          <w:sz w:val="36"/>
          <w:szCs w:val="36"/>
          <w:lang w:val="zh-TW"/>
        </w:rPr>
        <w:t>年</w:t>
      </w:r>
      <w:r>
        <w:rPr>
          <w:rFonts w:hint="eastAsia" w:asciiTheme="majorEastAsia" w:hAnsiTheme="majorEastAsia" w:eastAsiaTheme="majorEastAsia" w:cstheme="majorEastAsia"/>
          <w:b/>
          <w:bCs/>
          <w:sz w:val="36"/>
          <w:szCs w:val="36"/>
          <w:lang w:val="zh-TW" w:eastAsia="zh-TW"/>
        </w:rPr>
        <w:t>教师教学创新大赛评分标准</w:t>
      </w: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w:t>
      </w:r>
      <w:r>
        <w:rPr>
          <w:rFonts w:ascii="仿宋_GB2312" w:hAnsi="仿宋_GB2312" w:eastAsia="仿宋_GB2312" w:cs="仿宋_GB2312"/>
          <w:b/>
          <w:bCs/>
          <w:color w:val="000000"/>
          <w:kern w:val="0"/>
          <w:sz w:val="31"/>
          <w:szCs w:val="31"/>
          <w:lang w:val="en-US" w:eastAsia="zh-CN" w:bidi="ar"/>
        </w:rPr>
        <w:t>产教融合赛道</w:t>
      </w:r>
      <w:bookmarkStart w:id="0" w:name="_GoBack"/>
      <w:bookmarkEnd w:id="0"/>
      <w:r>
        <w:rPr>
          <w:rFonts w:hint="eastAsia" w:ascii="宋体" w:hAnsi="宋体" w:eastAsia="宋体" w:cs="宋体"/>
          <w:b/>
          <w:bCs/>
          <w:color w:val="000000"/>
          <w:kern w:val="0"/>
          <w:sz w:val="36"/>
          <w:szCs w:val="36"/>
          <w:lang w:val="en-US" w:eastAsia="zh-CN" w:bidi="ar"/>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一、教学创新成果报告评分表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46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ascii="宋体" w:hAnsi="宋体"/>
                <w:b/>
                <w:sz w:val="24"/>
                <w:szCs w:val="24"/>
              </w:rPr>
              <w:t>评价维度</w:t>
            </w:r>
          </w:p>
        </w:tc>
        <w:tc>
          <w:tcPr>
            <w:tcW w:w="64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ascii="宋体" w:hAnsi="宋体"/>
                <w:b/>
                <w:sz w:val="24"/>
                <w:szCs w:val="24"/>
              </w:rPr>
              <w:t>评价要点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sz w:val="24"/>
                <w:szCs w:val="24"/>
              </w:rPr>
              <w:t xml:space="preserve">问题导向 </w:t>
            </w:r>
          </w:p>
        </w:tc>
        <w:tc>
          <w:tcPr>
            <w:tcW w:w="64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sz w:val="24"/>
                <w:szCs w:val="24"/>
              </w:rPr>
            </w:pPr>
            <w:r>
              <w:rPr>
                <w:rFonts w:ascii="宋体" w:hAnsi="宋体" w:eastAsia="宋体" w:cs="宋体"/>
                <w:sz w:val="24"/>
                <w:szCs w:val="24"/>
                <w:lang w:val="en-US" w:eastAsia="zh-CN"/>
              </w:rPr>
              <w:t>人才培养规格与哲学社会科学和自然科学领域的各类实践需求相符，以培养高素质创新人才为导向，立足专业和学科特色，发现和解决产教融合课程教学面临的问题和挑战。</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25</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sz w:val="24"/>
                <w:szCs w:val="24"/>
              </w:rPr>
              <w:t xml:space="preserve"> 创新特色</w:t>
            </w:r>
          </w:p>
        </w:tc>
        <w:tc>
          <w:tcPr>
            <w:tcW w:w="64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sz w:val="24"/>
                <w:szCs w:val="24"/>
              </w:rPr>
            </w:pPr>
            <w:r>
              <w:rPr>
                <w:rFonts w:ascii="宋体" w:hAnsi="宋体" w:eastAsia="宋体" w:cs="宋体"/>
                <w:sz w:val="24"/>
                <w:szCs w:val="24"/>
                <w:lang w:val="en-US" w:eastAsia="zh-CN"/>
              </w:rPr>
              <w:t>通过产学研深度合作，在教学目标、内容、方法、评价和资源开发等方面共同完成课程改革，且针对性、创新性、可操作性强。</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25</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创新效果</w:t>
            </w:r>
          </w:p>
        </w:tc>
        <w:tc>
          <w:tcPr>
            <w:tcW w:w="64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sz w:val="24"/>
                <w:szCs w:val="24"/>
              </w:rPr>
            </w:pPr>
            <w:r>
              <w:rPr>
                <w:rFonts w:ascii="宋体" w:hAnsi="宋体" w:eastAsia="宋体" w:cs="宋体"/>
                <w:sz w:val="24"/>
                <w:szCs w:val="24"/>
                <w:lang w:val="en-US" w:eastAsia="zh-CN"/>
              </w:rPr>
              <w:t>课程教学方案设计科学、方法有效、评价多元，数字化转型较好，学生服务国家战略意识、专业知识素养、解决产业发展问题能力同步提高，解决人才培养供给侧和产业需求侧的结构性矛盾。</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25</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sz w:val="24"/>
                <w:szCs w:val="24"/>
              </w:rPr>
              <w:t>成果辐射</w:t>
            </w:r>
          </w:p>
        </w:tc>
        <w:tc>
          <w:tcPr>
            <w:tcW w:w="64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sz w:val="24"/>
                <w:szCs w:val="24"/>
              </w:rPr>
            </w:pPr>
            <w:r>
              <w:rPr>
                <w:rFonts w:ascii="宋体" w:hAnsi="宋体" w:eastAsia="宋体" w:cs="宋体"/>
                <w:sz w:val="24"/>
                <w:szCs w:val="24"/>
                <w:lang w:val="en-US" w:eastAsia="zh-CN"/>
              </w:rPr>
              <w:t>能够对产教融合课程教学的合作模式和成果转化开展基于证据的有效分析与总结，形成具有较强辐射推广价值的教学新方法、新模式。</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25</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sz w:val="24"/>
                <w:szCs w:val="24"/>
              </w:rPr>
              <w:t>总分</w:t>
            </w:r>
          </w:p>
        </w:tc>
        <w:tc>
          <w:tcPr>
            <w:tcW w:w="64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sz w:val="24"/>
                <w:szCs w:val="24"/>
              </w:rPr>
              <w:t>100分</w:t>
            </w:r>
          </w:p>
        </w:tc>
      </w:tr>
    </w:tbl>
    <w:p>
      <w:pPr>
        <w:rPr>
          <w:rFonts w:hint="eastAsia" w:asciiTheme="majorEastAsia" w:hAnsiTheme="majorEastAsia" w:eastAsiaTheme="majorEastAsia"/>
          <w:b/>
          <w:sz w:val="24"/>
          <w:szCs w:val="21"/>
        </w:rPr>
      </w:pPr>
      <w:r>
        <w:rPr>
          <w:rFonts w:hint="eastAsia" w:asciiTheme="majorEastAsia" w:hAnsiTheme="majorEastAsia" w:eastAsiaTheme="majorEastAsia"/>
          <w:b/>
          <w:sz w:val="24"/>
          <w:szCs w:val="21"/>
        </w:rPr>
        <w:br w:type="page"/>
      </w:r>
    </w:p>
    <w:p>
      <w:pPr>
        <w:keepNext w:val="0"/>
        <w:keepLines w:val="0"/>
        <w:pageBreakBefore w:val="0"/>
        <w:widowControl w:val="0"/>
        <w:kinsoku/>
        <w:wordWrap/>
        <w:overflowPunct/>
        <w:topLinePunct w:val="0"/>
        <w:autoSpaceDE/>
        <w:autoSpaceDN/>
        <w:bidi w:val="0"/>
        <w:adjustRightInd w:val="0"/>
        <w:snapToGrid/>
        <w:spacing w:before="156" w:beforeLines="50" w:after="156" w:afterLines="50"/>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二、教学设计创新汇报评分表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645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ascii="宋体" w:hAnsi="宋体"/>
                <w:b/>
                <w:sz w:val="24"/>
              </w:rPr>
              <w:t>评价维度</w:t>
            </w:r>
          </w:p>
        </w:tc>
        <w:tc>
          <w:tcPr>
            <w:tcW w:w="64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ascii="宋体" w:hAnsi="宋体"/>
                <w:b/>
                <w:sz w:val="24"/>
              </w:rPr>
              <w:t>评价要点</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1"/>
              </w:rPr>
            </w:pPr>
            <w:r>
              <w:rPr>
                <w:rFonts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exac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rPr>
            </w:pPr>
            <w:r>
              <w:rPr>
                <w:rFonts w:ascii="宋体" w:hAnsi="宋体"/>
                <w:sz w:val="24"/>
              </w:rPr>
              <w:t>理念与目标</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课程设计体现</w:t>
            </w:r>
            <w:r>
              <w:rPr>
                <w:rFonts w:hint="default" w:ascii="宋体" w:hAnsi="宋体"/>
                <w:sz w:val="24"/>
                <w:lang w:val="en-US" w:eastAsia="zh-CN"/>
              </w:rPr>
              <w:t>“</w:t>
            </w:r>
            <w:r>
              <w:rPr>
                <w:rFonts w:ascii="宋体" w:hAnsi="宋体"/>
                <w:sz w:val="24"/>
                <w:lang w:val="en-US" w:eastAsia="zh-CN"/>
              </w:rPr>
              <w:t>以学生发展为中心</w:t>
            </w:r>
            <w:r>
              <w:rPr>
                <w:rFonts w:hint="default" w:ascii="宋体" w:hAnsi="宋体"/>
                <w:sz w:val="24"/>
                <w:lang w:val="en-US" w:eastAsia="zh-CN"/>
              </w:rPr>
              <w:t>”</w:t>
            </w:r>
            <w:r>
              <w:rPr>
                <w:rFonts w:ascii="宋体" w:hAnsi="宋体"/>
                <w:sz w:val="24"/>
                <w:lang w:val="en-US" w:eastAsia="zh-CN"/>
              </w:rPr>
              <w:t>的理念，教学目标符合专业课程特点、学生实际，清楚具体，易于理解，便于实施，助力拔尖创新人才培养。</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1"/>
              </w:rPr>
            </w:pPr>
            <w:r>
              <w:rPr>
                <w:rFonts w:hint="eastAsia" w:ascii="宋体" w:hAnsi="宋体"/>
                <w:sz w:val="24"/>
                <w:szCs w:val="21"/>
                <w:lang w:val="en-US" w:eastAsia="zh-CN"/>
              </w:rPr>
              <w:t>10</w:t>
            </w:r>
            <w:r>
              <w:rPr>
                <w:rFonts w:ascii="宋体" w:hAnsi="宋体"/>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14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rPr>
            </w:pPr>
            <w:r>
              <w:rPr>
                <w:rFonts w:ascii="宋体" w:hAnsi="宋体" w:eastAsia="宋体" w:cs="宋体"/>
                <w:sz w:val="24"/>
                <w:szCs w:val="24"/>
              </w:rPr>
              <w:t>内容分析</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紧密对接产业链和创新链，及时将学科研究新进展、实践发展新经验、社会需求新变化、思政教育有机融入课程教学内容，更新及时，动态完善。</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1"/>
              </w:rPr>
            </w:pPr>
            <w:r>
              <w:rPr>
                <w:rFonts w:hint="eastAsia" w:ascii="宋体" w:hAnsi="宋体"/>
                <w:sz w:val="24"/>
                <w:szCs w:val="21"/>
                <w:lang w:val="en-US" w:eastAsia="zh-CN"/>
              </w:rPr>
              <w:t>30</w:t>
            </w:r>
            <w:r>
              <w:rPr>
                <w:rFonts w:ascii="宋体" w:hAnsi="宋体"/>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exact"/>
        </w:trPr>
        <w:tc>
          <w:tcPr>
            <w:tcW w:w="14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避免</w:t>
            </w:r>
            <w:r>
              <w:rPr>
                <w:rFonts w:hint="default" w:ascii="宋体" w:hAnsi="宋体"/>
                <w:sz w:val="24"/>
                <w:lang w:val="en-US" w:eastAsia="zh-CN"/>
              </w:rPr>
              <w:t>“</w:t>
            </w:r>
            <w:r>
              <w:rPr>
                <w:rFonts w:ascii="宋体" w:hAnsi="宋体"/>
                <w:sz w:val="24"/>
                <w:lang w:val="en-US" w:eastAsia="zh-CN"/>
              </w:rPr>
              <w:t>两张皮</w:t>
            </w:r>
            <w:r>
              <w:rPr>
                <w:rFonts w:hint="default" w:ascii="宋体" w:hAnsi="宋体"/>
                <w:sz w:val="24"/>
                <w:lang w:val="en-US" w:eastAsia="zh-CN"/>
              </w:rPr>
              <w:t>”</w:t>
            </w:r>
            <w:r>
              <w:rPr>
                <w:rFonts w:ascii="宋体" w:hAnsi="宋体"/>
                <w:sz w:val="24"/>
                <w:lang w:val="en-US" w:eastAsia="zh-CN"/>
              </w:rPr>
              <w:t>，将专业课程知识点关系、地位、作用纳入到产业发展的新环境、新背景中去讲授，描述准确，理论与实践结合合理，高校、行业企业内容分配合理；参与教学的双师型师资队伍建设合理。</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trPr>
        <w:tc>
          <w:tcPr>
            <w:tcW w:w="14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sz w:val="24"/>
                <w:szCs w:val="24"/>
              </w:rPr>
              <w:t>过程与方法</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教学过程在行业企业真实场景下进行，培养学生分析解决复杂问题的能力以及创新创业的意识和能力，实践教学与生产实践对接。</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sz w:val="24"/>
                <w:szCs w:val="21"/>
                <w:lang w:val="en-US" w:eastAsia="zh-CN"/>
              </w:rPr>
            </w:pPr>
            <w:r>
              <w:rPr>
                <w:rFonts w:hint="eastAsia" w:ascii="宋体" w:hAnsi="宋体"/>
                <w:sz w:val="24"/>
                <w:szCs w:val="21"/>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trPr>
        <w:tc>
          <w:tcPr>
            <w:tcW w:w="14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通过产教协同解决教学过程中存在的各种问题和困难；教学重点突出，难点把握准确，充分调动学生积极性、主动性和创造性。</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trPr>
        <w:tc>
          <w:tcPr>
            <w:tcW w:w="14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合理选择与应用数字化平台和技术，创设教学环境，强调自主、合作、探究的学习。</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exac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考核评价</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评价方法和主体多元，行业企业参与评价，过程性评价和终结性评价相结合，学生知识、能力和思维发展得到合理有效评价。</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1"/>
                <w:lang w:val="en-US" w:eastAsia="zh-CN"/>
              </w:rPr>
            </w:pPr>
            <w:r>
              <w:rPr>
                <w:rFonts w:hint="eastAsia" w:ascii="宋体" w:hAnsi="宋体"/>
                <w:sz w:val="24"/>
                <w:szCs w:val="21"/>
                <w:lang w:val="en-US" w:eastAsia="zh-CN"/>
              </w:rPr>
              <w:t>10</w:t>
            </w:r>
            <w:r>
              <w:rPr>
                <w:rFonts w:ascii="宋体" w:hAnsi="宋体"/>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sz w:val="24"/>
                <w:szCs w:val="24"/>
              </w:rPr>
              <w:t>设计创新</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r>
              <w:rPr>
                <w:rFonts w:ascii="宋体" w:hAnsi="宋体"/>
                <w:sz w:val="24"/>
                <w:lang w:val="en-US" w:eastAsia="zh-CN"/>
              </w:rPr>
              <w:t>教学方案的整体设计富有创新性，注重资源整合，能体现产教融合协同育人的教学理念、思路和要求；教学方法选择适当，教学过程设计有突出的特色。</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szCs w:val="21"/>
                <w:lang w:val="en-US" w:eastAsia="zh-CN"/>
              </w:rPr>
            </w:pPr>
            <w:r>
              <w:rPr>
                <w:rFonts w:hint="eastAsia" w:ascii="宋体" w:hAnsi="宋体"/>
                <w:sz w:val="24"/>
                <w:szCs w:val="21"/>
                <w:lang w:val="en-US" w:eastAsia="zh-CN"/>
              </w:rPr>
              <w:t>20</w:t>
            </w:r>
            <w:r>
              <w:rPr>
                <w:rFonts w:ascii="宋体" w:hAnsi="宋体"/>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rPr>
            </w:pPr>
            <w:r>
              <w:rPr>
                <w:rFonts w:ascii="宋体" w:hAnsi="宋体"/>
                <w:sz w:val="24"/>
              </w:rPr>
              <w:t>总分</w:t>
            </w:r>
          </w:p>
        </w:tc>
        <w:tc>
          <w:tcPr>
            <w:tcW w:w="645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szCs w:val="21"/>
              </w:rPr>
            </w:pPr>
            <w:r>
              <w:rPr>
                <w:rFonts w:ascii="宋体" w:hAnsi="宋体"/>
                <w:sz w:val="24"/>
                <w:szCs w:val="21"/>
              </w:rPr>
              <w:t>100分</w:t>
            </w:r>
          </w:p>
        </w:tc>
      </w:tr>
    </w:tbl>
    <w:p>
      <w:pPr>
        <w:spacing w:line="20" w:lineRule="exact"/>
        <w:jc w:val="left"/>
        <w:rPr>
          <w:rFonts w:ascii="仿宋_GB2312" w:hAnsi="仿宋_GB2312" w:eastAsia="仿宋_GB2312" w:cs="仿宋_GB2312"/>
          <w:sz w:val="24"/>
          <w:szCs w:val="24"/>
        </w:rPr>
      </w:pPr>
    </w:p>
    <w:p>
      <w:pPr>
        <w:spacing w:line="20" w:lineRule="exact"/>
        <w:jc w:val="left"/>
        <w:rPr>
          <w:rFonts w:ascii="仿宋_GB2312" w:hAnsi="仿宋_GB2312" w:eastAsia="仿宋_GB2312" w:cs="仿宋_GB2312"/>
          <w:sz w:val="24"/>
          <w:szCs w:val="24"/>
        </w:rPr>
      </w:pPr>
    </w:p>
    <w:p>
      <w:pPr>
        <w:spacing w:line="20" w:lineRule="exact"/>
        <w:jc w:val="left"/>
        <w:rPr>
          <w:rFonts w:ascii="仿宋_GB2312" w:hAnsi="仿宋_GB2312" w:eastAsia="仿宋_GB2312" w:cs="仿宋_GB2312"/>
          <w:sz w:val="24"/>
          <w:szCs w:val="24"/>
        </w:rPr>
      </w:pPr>
    </w:p>
    <w:sectPr>
      <w:pgSz w:w="11906" w:h="16838"/>
      <w:pgMar w:top="1440" w:right="127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jM1M2I4ODA3NTNlM2M5ZDc3YjZhOTQzNWU3NmYifQ=="/>
  </w:docVars>
  <w:rsids>
    <w:rsidRoot w:val="009D3547"/>
    <w:rsid w:val="00015D69"/>
    <w:rsid w:val="00176DD0"/>
    <w:rsid w:val="00307B4C"/>
    <w:rsid w:val="00313737"/>
    <w:rsid w:val="00395FF2"/>
    <w:rsid w:val="005B5C43"/>
    <w:rsid w:val="006412F7"/>
    <w:rsid w:val="006D7EB9"/>
    <w:rsid w:val="00704D2A"/>
    <w:rsid w:val="007A6E86"/>
    <w:rsid w:val="008368B0"/>
    <w:rsid w:val="009D3547"/>
    <w:rsid w:val="009F21F8"/>
    <w:rsid w:val="00A15934"/>
    <w:rsid w:val="00A31DCD"/>
    <w:rsid w:val="00B25965"/>
    <w:rsid w:val="00B85BB2"/>
    <w:rsid w:val="00BB302C"/>
    <w:rsid w:val="00D10630"/>
    <w:rsid w:val="00E51C47"/>
    <w:rsid w:val="00FB5362"/>
    <w:rsid w:val="026A0791"/>
    <w:rsid w:val="06B82D37"/>
    <w:rsid w:val="22230696"/>
    <w:rsid w:val="244B74DD"/>
    <w:rsid w:val="62FA5B11"/>
    <w:rsid w:val="7F72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1"/>
    <w:autoRedefine/>
    <w:unhideWhenUsed/>
    <w:qFormat/>
    <w:uiPriority w:val="99"/>
    <w:pPr>
      <w:widowControl/>
      <w:snapToGrid w:val="0"/>
      <w:jc w:val="left"/>
    </w:pPr>
    <w:rPr>
      <w:rFonts w:eastAsia="等线" w:asciiTheme="minorHAnsi" w:hAnsiTheme="minorHAnsi" w:cstheme="minorBidi"/>
      <w:sz w:val="18"/>
      <w:szCs w:val="18"/>
    </w:rPr>
  </w:style>
  <w:style w:type="character" w:styleId="7">
    <w:name w:val="Hyperlink"/>
    <w:autoRedefine/>
    <w:qFormat/>
    <w:uiPriority w:val="0"/>
    <w:rPr>
      <w:color w:val="0000FF"/>
      <w:u w:val="single"/>
    </w:rPr>
  </w:style>
  <w:style w:type="character" w:styleId="8">
    <w:name w:val="footnote reference"/>
    <w:autoRedefine/>
    <w:unhideWhenUsed/>
    <w:qFormat/>
    <w:uiPriority w:val="99"/>
    <w:rPr>
      <w:vertAlign w:val="superscript"/>
    </w:r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 w:type="character" w:customStyle="1" w:styleId="11">
    <w:name w:val="脚注文本 Char"/>
    <w:link w:val="4"/>
    <w:autoRedefine/>
    <w:qFormat/>
    <w:uiPriority w:val="99"/>
    <w:rPr>
      <w:rFonts w:eastAsia="等线"/>
      <w:sz w:val="18"/>
      <w:szCs w:val="18"/>
    </w:rPr>
  </w:style>
  <w:style w:type="character" w:customStyle="1" w:styleId="12">
    <w:name w:val="脚注文本 Char1"/>
    <w:basedOn w:val="6"/>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684</Characters>
  <Lines>5</Lines>
  <Paragraphs>1</Paragraphs>
  <TotalTime>0</TotalTime>
  <ScaleCrop>false</ScaleCrop>
  <LinksUpToDate>false</LinksUpToDate>
  <CharactersWithSpaces>803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2020-12-28T08:10:00Z</dcterms:created>
  <dc:creator>郑宇</dc:creator>
  <cp:lastModifiedBy>华硕</cp:lastModifiedBy>
  <dcterms:modified xsi:type="dcterms:W3CDTF">2024-03-07T07:03:36Z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E700D167118A4D0C8CA671286392D9EB</vt:lpwstr>
  </property>
</Properties>
</file>